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：9月21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（周三）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1.复习《田家四季歌》并掌握不同的农事名称。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2.学会用部首查字法查找生字。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1.背诵田家四季歌。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2.复习语文书p26，巩固部首查字法。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培养复习和阅读的习惯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复习课文P10,11,13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韧带拉伸1分钟。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跳绳300个（100个为一组）。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自然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利用学校和家庭的各种</w:t>
            </w:r>
            <w:r>
              <w:rPr>
                <w:rFonts w:hint="eastAsia"/>
                <w:lang w:val="en-US" w:eastAsia="zh-CN"/>
              </w:rPr>
              <w:t>资源</w:t>
            </w:r>
            <w:r>
              <w:t>，激发学生积极思维。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复习巩固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观察家庭周围的小植物的生长情况并说一说。</w:t>
            </w:r>
          </w:p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道德与法治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培养学生合理安排自己生活的能力。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复习巩固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1.说一说如何制定周末作息时间表。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55分钟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9674C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338</Words>
  <Characters>368</Characters>
  <TotalTime>0</TotalTime>
  <ScaleCrop>false</ScaleCrop>
  <LinksUpToDate>false</LinksUpToDate>
  <CharactersWithSpaces>414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2022-09-21T05:24:48Z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324DB2D932894FC2936DED27C8D352D8</vt:lpwstr>
  </property>
</Properties>
</file>