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：6月28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>
          <w:trHeight w:val="1095" w:hRule="atLeast"/>
        </w:trPr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周二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了解《变法斗三仙》中，三个妖怪的主要事迹。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实践类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1.为羊力大仙、鹿力大仙和虎力大仙（三选一）做一份个人简历（提供模板）。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hint="default"/>
              </w:rPr>
              <w:t xml:space="preserve">25分钟</w:t>
            </w:r>
          </w:p>
        </w:tc>
      </w:tr>
      <w:tr>
        <w:trPr>
          <w:trHeight w:val="0" w:hRule="atLeast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数学（周二）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t xml:space="preserve">通过丰富的数学游戏活动，探索数与运算之间的奥秘。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t xml:space="preserve">口头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t xml:space="preserve">1、想一想、移一移</w:t>
            </w:r>
          </w:p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/>
            <w:r>
              <w:drawing>
                <wp:inline distT="0" distB="0" distL="0" distR="0">
                  <wp:extent cx="1676400" cy="2590800"/>
                  <wp:effectExtent b="0" l="0" r="0" t="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6764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r/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15分钟</w:t>
            </w:r>
          </w:p>
        </w:tc>
      </w:tr>
      <w:tr>
        <w:trPr>
          <w:trHeight w:val="0"/>
        </w:trPr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40分钟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4" Type="http://schemas.openxmlformats.org/officeDocument/2006/relationships/image" Target="media/image1.jpg" /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