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：6月23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周四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1，了解芭蕉扇的相关特点，拓展了解《西游记》中其他的兵器。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1.制作铁扇公主“人物图鉴“小报。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2.阅读西游记，找自己感兴趣的兵器，制作兵器小档案（选做）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35分钟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英语（周四）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了解《西游记》人物的性格特点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感受表演的乐趣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培养阅读习惯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说一说，演一演（选择一个《西游记》人物并扮演他作简单自我介绍）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阅读《西游记》绘本（选做）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10分钟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素质体能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4"/>
                <w:rFonts w:ascii="楷体" w:hAnsi="楷体" w:cs="楷体" w:eastAsia="楷体"/>
                <w:color w:val="000000"/>
              </w:rPr>
              <w:t xml:space="preserve">1、一分钟踏步/高抬腿摇绳，完成2组。</w:t>
            </w:r>
          </w:p>
          <w:p>
            <w:pPr>
              <w:ind/>
              <w:jc w:val="left"/>
            </w:pPr>
            <w:r>
              <w:rPr>
                <w:sz w:val="24"/>
              </w:rPr>
            </w:r>
          </w:p>
          <w:p>
            <w:pPr>
              <w:ind/>
              <w:jc w:val="left"/>
            </w:pPr>
            <w:r>
              <w:rPr>
                <w:sz w:val="24"/>
                <w:rFonts w:ascii="楷体" w:hAnsi="楷体" w:cs="楷体" w:eastAsia="楷体"/>
                <w:color w:val="000000"/>
              </w:rPr>
              <w:t xml:space="preserve">2、一分钟跳绳完成3组/跳绳300下。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60分钟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